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A9" w:rsidRPr="004755A9" w:rsidRDefault="004755A9" w:rsidP="004755A9">
      <w:pPr>
        <w:shd w:val="clear" w:color="auto" w:fill="FFFFFF"/>
        <w:spacing w:after="375" w:line="525" w:lineRule="atLeast"/>
        <w:outlineLvl w:val="2"/>
        <w:rPr>
          <w:rFonts w:ascii="Open Sans" w:hAnsi="Open Sans"/>
          <w:color w:val="242526"/>
          <w:sz w:val="38"/>
          <w:szCs w:val="38"/>
          <w:lang w:eastAsia="ru-RU"/>
        </w:rPr>
      </w:pPr>
      <w:r w:rsidRPr="004755A9">
        <w:rPr>
          <w:rFonts w:ascii="Open Sans" w:hAnsi="Open Sans"/>
          <w:color w:val="242526"/>
          <w:sz w:val="38"/>
          <w:szCs w:val="38"/>
          <w:lang w:eastAsia="ru-RU"/>
        </w:rPr>
        <w:fldChar w:fldCharType="begin"/>
      </w:r>
      <w:r w:rsidRPr="004755A9">
        <w:rPr>
          <w:rFonts w:ascii="Open Sans" w:hAnsi="Open Sans"/>
          <w:color w:val="242526"/>
          <w:sz w:val="38"/>
          <w:szCs w:val="38"/>
          <w:lang w:eastAsia="ru-RU"/>
        </w:rPr>
        <w:instrText xml:space="preserve"> HYPERLINK "http://www.lenoblces.ru/rejting-v-oblasti-energosberezheniya/" </w:instrText>
      </w:r>
      <w:r w:rsidRPr="004755A9">
        <w:rPr>
          <w:rFonts w:ascii="Open Sans" w:hAnsi="Open Sans"/>
          <w:color w:val="242526"/>
          <w:sz w:val="38"/>
          <w:szCs w:val="38"/>
          <w:lang w:eastAsia="ru-RU"/>
        </w:rPr>
        <w:fldChar w:fldCharType="separate"/>
      </w:r>
      <w:r w:rsidRPr="004755A9">
        <w:rPr>
          <w:rFonts w:ascii="Open Sans" w:hAnsi="Open Sans"/>
          <w:color w:val="242526"/>
          <w:sz w:val="38"/>
          <w:lang w:eastAsia="ru-RU"/>
        </w:rPr>
        <w:t>Рейтинг в области энергосбережения</w:t>
      </w:r>
      <w:r w:rsidRPr="004755A9">
        <w:rPr>
          <w:rFonts w:ascii="Open Sans" w:hAnsi="Open Sans"/>
          <w:color w:val="242526"/>
          <w:sz w:val="38"/>
          <w:szCs w:val="38"/>
          <w:lang w:eastAsia="ru-RU"/>
        </w:rPr>
        <w:fldChar w:fldCharType="end"/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«Рейтинг администраций муниципальных районов (городского округа) Ленинградской области в области энергосбережения и повышения энергетической энергоэффективности»</w:t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proofErr w:type="gram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Сформирован Рейтинг администраций муниципальных районов (городского округа) Ленинградской области в области энергосбережения и повышения энергетической эффективности (далее – Рейтинг) </w:t>
      </w: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по итогам 2019 года</w:t>
      </w:r>
      <w:r w:rsidRPr="004755A9">
        <w:rPr>
          <w:rFonts w:ascii="Open Sans" w:hAnsi="Open Sans"/>
          <w:color w:val="000000"/>
          <w:sz w:val="23"/>
          <w:szCs w:val="23"/>
          <w:lang w:eastAsia="ru-RU"/>
        </w:rPr>
        <w:t> (положение о формировании Рейтинга утверждено распоряжением комитета по топливно-энергетическому комплексу Ленинградской области от </w:t>
      </w: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30.04.2020 года №48</w:t>
      </w:r>
      <w:r w:rsidRPr="004755A9">
        <w:rPr>
          <w:rFonts w:ascii="Open Sans" w:hAnsi="Open Sans"/>
          <w:color w:val="000000"/>
          <w:sz w:val="23"/>
          <w:szCs w:val="23"/>
          <w:lang w:eastAsia="ru-RU"/>
        </w:rPr>
        <w:t>.</w:t>
      </w:r>
      <w:proofErr w:type="gramEnd"/>
    </w:p>
    <w:p w:rsidR="004755A9" w:rsidRPr="004755A9" w:rsidRDefault="004755A9" w:rsidP="004755A9">
      <w:pPr>
        <w:numPr>
          <w:ilvl w:val="0"/>
          <w:numId w:val="3"/>
        </w:numPr>
        <w:shd w:val="clear" w:color="auto" w:fill="FFFFFF"/>
        <w:ind w:left="0"/>
        <w:textAlignment w:val="top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Рейтинг определяется по 13 критериям в соответствии со значением сводного показателя энергоэффективности, рассчитываемого в отношении каждого МР (ГО) ЛО. Максимальное количество баллов – 115.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81825" cy="7324725"/>
            <wp:effectExtent l="19050" t="0" r="9525" b="0"/>
            <wp:docPr id="1" name="Рисунок 1" descr="http://www.lenoblces.ru/wp-content/uploads/2020/06/Rating-20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oblces.ru/wp-content/uploads/2020/06/Rating-2019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По итогам 2019 года лидируют </w:t>
      </w: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Тихвинский и</w:t>
      </w:r>
      <w:r w:rsidRPr="004755A9">
        <w:rPr>
          <w:rFonts w:ascii="Open Sans" w:hAnsi="Open Sans"/>
          <w:color w:val="000000"/>
          <w:sz w:val="23"/>
          <w:szCs w:val="23"/>
          <w:lang w:eastAsia="ru-RU"/>
        </w:rPr>
        <w:t> </w:t>
      </w: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Лодейнопольский МР</w:t>
      </w:r>
      <w:r w:rsidRPr="004755A9">
        <w:rPr>
          <w:rFonts w:ascii="Open Sans" w:hAnsi="Open Sans"/>
          <w:color w:val="000000"/>
          <w:sz w:val="23"/>
          <w:szCs w:val="23"/>
          <w:lang w:eastAsia="ru-RU"/>
        </w:rPr>
        <w:t> </w:t>
      </w: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ЛО</w:t>
      </w:r>
      <w:r w:rsidRPr="004755A9">
        <w:rPr>
          <w:rFonts w:ascii="Open Sans" w:hAnsi="Open Sans"/>
          <w:color w:val="000000"/>
          <w:sz w:val="23"/>
          <w:szCs w:val="23"/>
          <w:lang w:eastAsia="ru-RU"/>
        </w:rPr>
        <w:t>, за ним последовал </w:t>
      </w:r>
      <w:proofErr w:type="spellStart"/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Тосненский</w:t>
      </w:r>
      <w:proofErr w:type="spellEnd"/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 xml:space="preserve"> район ЛО</w:t>
      </w:r>
      <w:r w:rsidRPr="004755A9">
        <w:rPr>
          <w:rFonts w:ascii="Open Sans" w:hAnsi="Open Sans"/>
          <w:color w:val="000000"/>
          <w:sz w:val="23"/>
          <w:szCs w:val="23"/>
          <w:lang w:eastAsia="ru-RU"/>
        </w:rPr>
        <w:t> и третье место разделили </w:t>
      </w: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 xml:space="preserve">Волховский и </w:t>
      </w:r>
      <w:proofErr w:type="spellStart"/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Сланцевский</w:t>
      </w:r>
      <w:proofErr w:type="spellEnd"/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 xml:space="preserve"> МР ЛО</w:t>
      </w:r>
      <w:r w:rsidRPr="004755A9">
        <w:rPr>
          <w:rFonts w:ascii="Open Sans" w:hAnsi="Open Sans"/>
          <w:color w:val="000000"/>
          <w:sz w:val="23"/>
          <w:szCs w:val="23"/>
          <w:lang w:eastAsia="ru-RU"/>
        </w:rPr>
        <w:t>.</w:t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Рейтинг по организационным мероприятиям.</w:t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В части реализации организационных мероприятий определились свои лидеры. 1 место занял Волховский МР ЛО, 2 место — </w:t>
      </w:r>
      <w:proofErr w:type="spell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Сланцевский</w:t>
      </w:r>
      <w:proofErr w:type="spellEnd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 МР  и 3 место </w:t>
      </w:r>
      <w:proofErr w:type="spell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Лужский</w:t>
      </w:r>
      <w:proofErr w:type="spellEnd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 МР.</w:t>
      </w:r>
    </w:p>
    <w:tbl>
      <w:tblPr>
        <w:tblW w:w="0" w:type="auto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467"/>
        <w:gridCol w:w="3210"/>
        <w:gridCol w:w="3299"/>
      </w:tblGrid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 xml:space="preserve">№ </w:t>
            </w:r>
            <w:proofErr w:type="spellStart"/>
            <w:proofErr w:type="gramStart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lastRenderedPageBreak/>
              <w:t>п</w:t>
            </w:r>
            <w:proofErr w:type="spellEnd"/>
            <w:proofErr w:type="gramEnd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/</w:t>
            </w:r>
            <w:proofErr w:type="spellStart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lastRenderedPageBreak/>
              <w:t>М</w:t>
            </w:r>
            <w:proofErr w:type="gramStart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Р(</w:t>
            </w:r>
            <w:proofErr w:type="gramEnd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ГО)ЛО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 xml:space="preserve">Сумма баллов по показателям реализации </w:t>
            </w: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lastRenderedPageBreak/>
              <w:t>организационных мероприятий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lastRenderedPageBreak/>
              <w:t xml:space="preserve">Место МР (ГО) ЛО по показателям реализации </w:t>
            </w: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lastRenderedPageBreak/>
              <w:t>организационных мероприятий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Волховский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Сланцевский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Лужский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Лодейнопольский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Кировский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Сосновоборский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Киришский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Выборгский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Тихвинский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Ломоносовский муниципальный </w:t>
            </w: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lastRenderedPageBreak/>
              <w:t>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Гатчинский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Приозерский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Подпорожский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Кингисеппский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Бокситогорский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Всеволожский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Волосовский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</w:tbl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b/>
          <w:bCs/>
          <w:color w:val="000000"/>
          <w:sz w:val="23"/>
          <w:lang w:eastAsia="ru-RU"/>
        </w:rPr>
        <w:t>Рейтинг по техническим мероприятиям.</w:t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Первые 3 места распределились среди 6 районов. 1 место делят Тихвинский и </w:t>
      </w:r>
      <w:proofErr w:type="spell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Кингисеппский</w:t>
      </w:r>
      <w:proofErr w:type="spellEnd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 МР, 2 место – Лодейнопольский МР и 3 место – </w:t>
      </w:r>
      <w:proofErr w:type="spell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Приозерский</w:t>
      </w:r>
      <w:proofErr w:type="spellEnd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, Всеволожский МР ЛО и </w:t>
      </w:r>
      <w:proofErr w:type="spell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Тосненский</w:t>
      </w:r>
      <w:proofErr w:type="spellEnd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 район.</w:t>
      </w:r>
    </w:p>
    <w:tbl>
      <w:tblPr>
        <w:tblW w:w="0" w:type="auto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619"/>
        <w:gridCol w:w="3107"/>
        <w:gridCol w:w="3230"/>
      </w:tblGrid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 xml:space="preserve">№ </w:t>
            </w:r>
            <w:proofErr w:type="spellStart"/>
            <w:proofErr w:type="gramStart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  <w:proofErr w:type="gramEnd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/</w:t>
            </w:r>
            <w:proofErr w:type="spellStart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М</w:t>
            </w:r>
            <w:proofErr w:type="gramStart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Р(</w:t>
            </w:r>
            <w:proofErr w:type="gramEnd"/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ГО)ЛО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Сумма баллов по показателям реализации технических мероприятий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Место МР (ГО) ЛО по показателям реализации технических мероприятий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Тихвинский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Кингисеппский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Лодейнопольский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Приозерский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Всеволожский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Киришский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Подпорожский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Сланцевский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Лужский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Бокситогорский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Волосовский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Волховский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Кировский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Выборгский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Гатчинский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Сосновоборский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Ломоносовский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</w:tbl>
    <w:p w:rsidR="004755A9" w:rsidRPr="004755A9" w:rsidRDefault="004755A9" w:rsidP="004755A9">
      <w:pPr>
        <w:numPr>
          <w:ilvl w:val="0"/>
          <w:numId w:val="4"/>
        </w:numPr>
        <w:shd w:val="clear" w:color="auto" w:fill="FFFFFF"/>
        <w:ind w:left="0"/>
        <w:textAlignment w:val="top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Критерии, учитываемые при составлении Рейтинга:</w:t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  №1. В этом году впервые было осуществлено ранжирование МР (ГО) ЛО по доли финансирования программ (подпрограмм) в общем объеме бюджета.</w:t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Доля фактического финансирования муниципальной программы (подпрограммы) в области энергосбережения и повышения энергоэффективности МР (ГО) ЛО за счёт средств местного бюджета в общем объёме годового бюджета МР (ГО) ЛО.</w:t>
      </w:r>
    </w:p>
    <w:tbl>
      <w:tblPr>
        <w:tblW w:w="0" w:type="auto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2784"/>
        <w:gridCol w:w="1857"/>
      </w:tblGrid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Значение показателя по итогам 2019 года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b/>
                <w:bCs/>
                <w:color w:val="000000"/>
                <w:sz w:val="23"/>
                <w:lang w:eastAsia="ru-RU"/>
              </w:rPr>
              <w:t>Количество баллов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Бокситогорский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Волосовский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Волховский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Всеволожский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Выборгский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0,269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Гатчинский 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0,655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Кингисеппский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 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Киришский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Кировский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0,368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Лодейнопольский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0,721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lastRenderedPageBreak/>
              <w:t>Ломоносовский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0,117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Лужский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0,068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Подпорожский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0,158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Приозерский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Сланцевский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0,786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Сосновоборский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0,272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Тихвинский муниципальный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755A9" w:rsidRPr="004755A9" w:rsidTr="004755A9"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Тосненский</w:t>
            </w:r>
            <w:proofErr w:type="spellEnd"/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1,031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55A9" w:rsidRPr="004755A9" w:rsidRDefault="004755A9" w:rsidP="004755A9">
            <w:pPr>
              <w:spacing w:after="300" w:line="300" w:lineRule="atLeast"/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</w:pPr>
            <w:r w:rsidRPr="004755A9">
              <w:rPr>
                <w:rFonts w:ascii="Open Sans" w:hAnsi="Open Sans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</w:tbl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Ранговый показатель  №2.  Количество </w:t>
      </w:r>
      <w:proofErr w:type="spell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энергосервисных</w:t>
      </w:r>
      <w:proofErr w:type="spellEnd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 договоров (контрактов), связанных с реализацией энергосберегающих мероприятий в системах энергоснабжения (далее — ЭСК), заключенных администрациями МР (ГО) ЛО и поселений МР ЛО, муниципальными учреждениями Ленинградской области, подведомственными администрации МР (ГО) ЛО или поселению МР ЛО (далее – МУ ЛО), в отчетном году</w:t>
      </w:r>
      <w:proofErr w:type="gram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10425" cy="2562225"/>
            <wp:effectExtent l="19050" t="0" r="9525" b="0"/>
            <wp:docPr id="2" name="Рисунок 2" descr="http://www.lenoblces.ru/wp-content/uploads/2020/0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noblces.ru/wp-content/uploads/2020/06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 №3. Процент деклараций о потреблении энергетических ресурсов, предоставленных администрациями МР (ГО) ЛО и поселений МР ЛО, МУ ЛО в ГИС «Энергоэффективность»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3952875"/>
            <wp:effectExtent l="19050" t="0" r="0" b="0"/>
            <wp:docPr id="3" name="Рисунок 3" descr="http://www.lenoblces.ru/wp-content/uploads/2020/06/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noblces.ru/wp-content/uploads/2020/06/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  №4. Процент отчётов по программам энергосбережения, предоставленных МУ ЛО в РГИС «Энергоэффективность» и содержащих технические мероприятия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438525"/>
            <wp:effectExtent l="19050" t="0" r="0" b="0"/>
            <wp:docPr id="4" name="Рисунок 4" descr="http://www.lenoblces.ru/wp-content/uploads/2020/06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oblces.ru/wp-content/uploads/2020/06/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 №5. Процент принятых отчетов, предоставленных администрациями МР (ГО) ЛО и поселений МР ЛО, МУ ЛО в РГИС «Энергоэффективность»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3505200"/>
            <wp:effectExtent l="19050" t="0" r="9525" b="0"/>
            <wp:docPr id="5" name="Рисунок 5" descr="http://www.lenoblces.ru/wp-content/uploads/2020/0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noblces.ru/wp-content/uploads/2020/06/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Ранговый показатель №6. Доля объема холодной воды, расчеты за которую осуществляются с использованием приборов учета, в общем объеме воды, потребляемой (используемой) ОМС ЛО и </w:t>
      </w:r>
      <w:proofErr w:type="gram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подведомственными</w:t>
      </w:r>
      <w:proofErr w:type="gramEnd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 МУ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72125" cy="3267075"/>
            <wp:effectExtent l="19050" t="0" r="9525" b="0"/>
            <wp:docPr id="6" name="Рисунок 6" descr="http://www.lenoblces.ru/wp-content/uploads/2020/06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noblces.ru/wp-content/uploads/2020/06/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Ранговый показатель №7.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ОМС ЛО и </w:t>
      </w:r>
      <w:proofErr w:type="gramStart"/>
      <w:r w:rsidRPr="004755A9">
        <w:rPr>
          <w:rFonts w:ascii="Open Sans" w:hAnsi="Open Sans"/>
          <w:color w:val="000000"/>
          <w:sz w:val="23"/>
          <w:szCs w:val="23"/>
          <w:lang w:eastAsia="ru-RU"/>
        </w:rPr>
        <w:t>подведомственными</w:t>
      </w:r>
      <w:proofErr w:type="gramEnd"/>
      <w:r w:rsidRPr="004755A9">
        <w:rPr>
          <w:rFonts w:ascii="Open Sans" w:hAnsi="Open Sans"/>
          <w:color w:val="000000"/>
          <w:sz w:val="23"/>
          <w:szCs w:val="23"/>
          <w:lang w:eastAsia="ru-RU"/>
        </w:rPr>
        <w:t xml:space="preserve"> МУ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0200" cy="3381375"/>
            <wp:effectExtent l="19050" t="0" r="0" b="0"/>
            <wp:docPr id="7" name="Рисунок 7" descr="http://www.lenoblces.ru/wp-content/uploads/2020/06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noblces.ru/wp-content/uploads/2020/06/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 №8. Удельный расход тепловой энергии на снабжение органов местного самоуправления и муниципальных учреждений (Гкал в расчёте на 1 кв. м отапливаемой площади)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4050" cy="3276600"/>
            <wp:effectExtent l="19050" t="0" r="0" b="0"/>
            <wp:docPr id="8" name="Рисунок 8" descr="http://www.lenoblces.ru/wp-content/uploads/2020/06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noblces.ru/wp-content/uploads/2020/06/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  №9. Удельный расход холодной воды на снабжение органов местного самоуправления и муниципальных учреждений (в расчете на 1 человека)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3486150"/>
            <wp:effectExtent l="19050" t="0" r="0" b="0"/>
            <wp:docPr id="9" name="Рисунок 9" descr="http://www.lenoblces.ru/wp-content/uploads/2020/06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noblces.ru/wp-content/uploads/2020/06/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  №10. Процент зданий, строений, сооружений муниципальной собственности, занимаемых администрациями МР (ГО) ЛО и поселений МР ЛО, МУ ЛО, в которых присоединение к магистральной тепловой сети (при отсутствии собственного источника) является индивидуальным с автоматизацией отопления и ГВС (далее — АИТП)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7850" cy="3667125"/>
            <wp:effectExtent l="19050" t="0" r="0" b="0"/>
            <wp:docPr id="10" name="Рисунок 10" descr="http://www.lenoblces.ru/wp-content/uploads/2020/06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noblces.ru/wp-content/uploads/2020/06/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 №11. Процент установленных светодиодных источников света в уличном и дорожном освещении МР (ГО) ЛО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0200" cy="3609975"/>
            <wp:effectExtent l="19050" t="0" r="0" b="0"/>
            <wp:docPr id="11" name="Рисунок 11" descr="http://www.lenoblces.ru/wp-content/uploads/2020/06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enoblces.ru/wp-content/uploads/2020/06/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 №12. Количество опубликованных администрациями МР (ГО) ЛО и поселений МР ЛО, МУ ЛО в СМИ (размещение на сайтах Интернет-ресурсов) статей по пропаганде энергосбережения</w:t>
      </w:r>
    </w:p>
    <w:p w:rsidR="004755A9" w:rsidRPr="004755A9" w:rsidRDefault="004755A9" w:rsidP="004755A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4525" cy="2790825"/>
            <wp:effectExtent l="19050" t="0" r="9525" b="0"/>
            <wp:docPr id="12" name="Рисунок 12" descr="http://www.lenoblces.ru/wp-content/uploads/2020/06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enoblces.ru/wp-content/uploads/2020/06/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A9" w:rsidRPr="004755A9" w:rsidRDefault="004755A9" w:rsidP="004755A9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4755A9">
        <w:rPr>
          <w:rFonts w:ascii="Open Sans" w:hAnsi="Open Sans"/>
          <w:color w:val="000000"/>
          <w:sz w:val="23"/>
          <w:szCs w:val="23"/>
          <w:lang w:eastAsia="ru-RU"/>
        </w:rPr>
        <w:t>Ранговый показатель №13. Количество заявок, представленных МР (ГО) ЛО и поселений МР ЛО, МУ ЛО к участию в региональных/федеральных конкурсах</w:t>
      </w:r>
    </w:p>
    <w:p w:rsidR="001F5364" w:rsidRDefault="004755A9" w:rsidP="004755A9">
      <w:r>
        <w:rPr>
          <w:noProof/>
          <w:lang w:eastAsia="ru-RU"/>
        </w:rPr>
        <w:lastRenderedPageBreak/>
        <w:drawing>
          <wp:inline distT="0" distB="0" distL="0" distR="0">
            <wp:extent cx="5495925" cy="3686175"/>
            <wp:effectExtent l="19050" t="0" r="9525" b="0"/>
            <wp:docPr id="13" name="Рисунок 13" descr="http://www.lenoblces.ru/wp-content/uploads/2020/06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noblces.ru/wp-content/uploads/2020/06/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364" w:rsidSect="001F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314F36"/>
    <w:multiLevelType w:val="multilevel"/>
    <w:tmpl w:val="086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D56E9"/>
    <w:multiLevelType w:val="multilevel"/>
    <w:tmpl w:val="DD6E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5A9"/>
    <w:rsid w:val="00021152"/>
    <w:rsid w:val="00071A6F"/>
    <w:rsid w:val="00073316"/>
    <w:rsid w:val="001F5364"/>
    <w:rsid w:val="0042369C"/>
    <w:rsid w:val="004755A9"/>
    <w:rsid w:val="004A0F44"/>
    <w:rsid w:val="00780CEE"/>
    <w:rsid w:val="00905903"/>
    <w:rsid w:val="00C01FC3"/>
    <w:rsid w:val="00F1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0CEE"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link w:val="20"/>
    <w:qFormat/>
    <w:rsid w:val="00780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55A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EE"/>
    <w:rPr>
      <w:rFonts w:ascii="Arial" w:hAnsi="Arial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80CE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780CEE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3"/>
    <w:rsid w:val="00780CEE"/>
    <w:rPr>
      <w:rFonts w:ascii="Arial" w:hAnsi="Arial"/>
      <w:b/>
      <w:sz w:val="32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80CE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80CEE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755A9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4755A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755A9"/>
    <w:pPr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755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75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5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2020-06-22T13:46:00Z</dcterms:created>
  <dcterms:modified xsi:type="dcterms:W3CDTF">2020-06-22T13:47:00Z</dcterms:modified>
</cp:coreProperties>
</file>