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100"/>
      </w:tblGrid>
      <w:tr w:rsidR="007A4DF0" w:rsidTr="002B0E04">
        <w:trPr>
          <w:cantSplit/>
          <w:trHeight w:val="3119"/>
          <w:jc w:val="center"/>
        </w:trPr>
        <w:tc>
          <w:tcPr>
            <w:tcW w:w="4534" w:type="dxa"/>
          </w:tcPr>
          <w:p w:rsidR="007A4DF0" w:rsidRDefault="007A4DF0" w:rsidP="002B0E04">
            <w:pPr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 w:val="28"/>
                <w:szCs w:val="2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 w:val="28"/>
                <w:szCs w:val="2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 w:val="28"/>
                <w:szCs w:val="2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 w:val="28"/>
                <w:szCs w:val="28"/>
              </w:rPr>
            </w:pPr>
          </w:p>
          <w:p w:rsidR="007A4DF0" w:rsidRDefault="00F93420" w:rsidP="00C70473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  <w:r>
              <w:rPr>
                <w:sz w:val="28"/>
                <w:szCs w:val="28"/>
              </w:rPr>
              <w:t>.10</w:t>
            </w:r>
            <w:bookmarkStart w:id="0" w:name="_GoBack"/>
            <w:bookmarkEnd w:id="0"/>
            <w:r w:rsidR="007A4DF0">
              <w:rPr>
                <w:sz w:val="28"/>
                <w:szCs w:val="28"/>
              </w:rPr>
              <w:t>.20</w:t>
            </w:r>
            <w:r w:rsidR="007C2C90">
              <w:rPr>
                <w:sz w:val="28"/>
                <w:szCs w:val="28"/>
              </w:rPr>
              <w:t>20</w:t>
            </w:r>
            <w:r w:rsidR="004A54EC">
              <w:rPr>
                <w:sz w:val="28"/>
                <w:szCs w:val="28"/>
              </w:rPr>
              <w:t xml:space="preserve">        40-1-2020</w:t>
            </w:r>
          </w:p>
        </w:tc>
        <w:tc>
          <w:tcPr>
            <w:tcW w:w="5100" w:type="dxa"/>
          </w:tcPr>
          <w:p w:rsidR="007A4DF0" w:rsidRDefault="007A4DF0" w:rsidP="002B0E04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4DF0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администраций муниципальных образований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 w:rsidR="0047566C">
              <w:rPr>
                <w:sz w:val="28"/>
                <w:szCs w:val="28"/>
              </w:rPr>
              <w:t xml:space="preserve">, Кировского, </w:t>
            </w:r>
            <w:proofErr w:type="spellStart"/>
            <w:r w:rsidR="0047566C">
              <w:rPr>
                <w:sz w:val="28"/>
                <w:szCs w:val="28"/>
              </w:rPr>
              <w:t>Киришского</w:t>
            </w:r>
            <w:proofErr w:type="spellEnd"/>
            <w:r w:rsidR="0047566C">
              <w:rPr>
                <w:sz w:val="28"/>
                <w:szCs w:val="28"/>
              </w:rPr>
              <w:t xml:space="preserve">, </w:t>
            </w:r>
            <w:proofErr w:type="spellStart"/>
            <w:r w:rsidR="0047566C">
              <w:rPr>
                <w:sz w:val="28"/>
                <w:szCs w:val="28"/>
              </w:rPr>
              <w:t>Лодейнопольского</w:t>
            </w:r>
            <w:proofErr w:type="spellEnd"/>
            <w:r w:rsidR="0047566C">
              <w:rPr>
                <w:sz w:val="28"/>
                <w:szCs w:val="28"/>
              </w:rPr>
              <w:t xml:space="preserve">, </w:t>
            </w:r>
            <w:proofErr w:type="spellStart"/>
            <w:r w:rsidR="0047566C">
              <w:rPr>
                <w:sz w:val="28"/>
                <w:szCs w:val="28"/>
              </w:rPr>
              <w:t>Подпорожского</w:t>
            </w:r>
            <w:proofErr w:type="spellEnd"/>
            <w:r w:rsidR="0047566C">
              <w:rPr>
                <w:sz w:val="28"/>
                <w:szCs w:val="28"/>
              </w:rPr>
              <w:t xml:space="preserve">, </w:t>
            </w:r>
            <w:proofErr w:type="spellStart"/>
            <w:r w:rsidR="0047566C">
              <w:rPr>
                <w:sz w:val="28"/>
                <w:szCs w:val="28"/>
              </w:rPr>
              <w:t>Бокситогорского</w:t>
            </w:r>
            <w:proofErr w:type="gramStart"/>
            <w:r w:rsidR="0047566C">
              <w:rPr>
                <w:sz w:val="28"/>
                <w:szCs w:val="28"/>
              </w:rPr>
              <w:t>,Т</w:t>
            </w:r>
            <w:proofErr w:type="gramEnd"/>
            <w:r w:rsidR="0047566C">
              <w:rPr>
                <w:sz w:val="28"/>
                <w:szCs w:val="28"/>
              </w:rPr>
              <w:t>ихвинского</w:t>
            </w:r>
            <w:proofErr w:type="spellEnd"/>
            <w:r w:rsidR="0047566C">
              <w:rPr>
                <w:sz w:val="28"/>
                <w:szCs w:val="28"/>
              </w:rPr>
              <w:t xml:space="preserve"> муниципальных</w:t>
            </w:r>
            <w:r>
              <w:rPr>
                <w:sz w:val="28"/>
                <w:szCs w:val="28"/>
              </w:rPr>
              <w:t xml:space="preserve"> район</w:t>
            </w:r>
            <w:r w:rsidR="0047566C">
              <w:rPr>
                <w:sz w:val="28"/>
                <w:szCs w:val="28"/>
              </w:rPr>
              <w:t>ов</w:t>
            </w: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 w:val="28"/>
                <w:szCs w:val="28"/>
              </w:rPr>
            </w:pPr>
          </w:p>
          <w:p w:rsidR="007A4DF0" w:rsidRDefault="007A4DF0" w:rsidP="003D1833">
            <w:pPr>
              <w:tabs>
                <w:tab w:val="left" w:pos="4688"/>
              </w:tabs>
              <w:spacing w:line="240" w:lineRule="exact"/>
              <w:rPr>
                <w:sz w:val="28"/>
                <w:szCs w:val="28"/>
              </w:rPr>
            </w:pPr>
          </w:p>
          <w:p w:rsidR="007A4DF0" w:rsidRPr="00E02046" w:rsidRDefault="007A4DF0" w:rsidP="002B0E04">
            <w:pPr>
              <w:tabs>
                <w:tab w:val="left" w:pos="4336"/>
              </w:tabs>
              <w:snapToGrid w:val="0"/>
              <w:spacing w:line="180" w:lineRule="auto"/>
              <w:ind w:right="5" w:firstLine="867"/>
              <w:rPr>
                <w:sz w:val="28"/>
                <w:szCs w:val="28"/>
              </w:rPr>
            </w:pPr>
          </w:p>
        </w:tc>
      </w:tr>
    </w:tbl>
    <w:p w:rsidR="007A4DF0" w:rsidRDefault="007A4DF0" w:rsidP="007A4DF0">
      <w:pPr>
        <w:pStyle w:val="a3"/>
        <w:spacing w:after="0" w:line="240" w:lineRule="exact"/>
        <w:ind w:left="0" w:right="-286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8523D" w:rsidRPr="00584C6C" w:rsidRDefault="0028523D" w:rsidP="00D35536">
      <w:pPr>
        <w:spacing w:line="240" w:lineRule="exact"/>
        <w:jc w:val="both"/>
        <w:rPr>
          <w:sz w:val="28"/>
          <w:szCs w:val="28"/>
        </w:rPr>
      </w:pPr>
      <w:r w:rsidRPr="0028523D">
        <w:rPr>
          <w:sz w:val="28"/>
          <w:szCs w:val="28"/>
        </w:rPr>
        <w:t>В целях правового просвещения населения, прошу Вас разместить на</w:t>
      </w:r>
      <w:r>
        <w:rPr>
          <w:sz w:val="28"/>
          <w:szCs w:val="28"/>
        </w:rPr>
        <w:t xml:space="preserve"> </w:t>
      </w:r>
      <w:r w:rsidR="00D35536">
        <w:rPr>
          <w:sz w:val="28"/>
          <w:szCs w:val="28"/>
        </w:rPr>
        <w:t>официальных</w:t>
      </w:r>
      <w:r w:rsidRPr="0028523D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 w:rsidR="00D35536">
        <w:rPr>
          <w:sz w:val="28"/>
          <w:szCs w:val="28"/>
        </w:rPr>
        <w:t>ах Муниципальных</w:t>
      </w:r>
      <w:r>
        <w:rPr>
          <w:sz w:val="28"/>
          <w:szCs w:val="28"/>
        </w:rPr>
        <w:t xml:space="preserve"> образовани</w:t>
      </w:r>
      <w:r w:rsidR="00D35536">
        <w:rPr>
          <w:sz w:val="28"/>
          <w:szCs w:val="28"/>
        </w:rPr>
        <w:t>й</w:t>
      </w:r>
      <w:r w:rsidRPr="0028523D">
        <w:rPr>
          <w:sz w:val="28"/>
          <w:szCs w:val="28"/>
        </w:rPr>
        <w:t xml:space="preserve"> в рубрике «Прокурор </w:t>
      </w:r>
      <w:r w:rsidRPr="00584C6C">
        <w:rPr>
          <w:sz w:val="28"/>
          <w:szCs w:val="28"/>
        </w:rPr>
        <w:t>разъясняет» следующую информацию:</w:t>
      </w:r>
    </w:p>
    <w:p w:rsidR="0028523D" w:rsidRPr="00584C6C" w:rsidRDefault="0028523D" w:rsidP="007A4DF0">
      <w:pPr>
        <w:spacing w:line="240" w:lineRule="exact"/>
        <w:rPr>
          <w:sz w:val="28"/>
          <w:szCs w:val="28"/>
        </w:rPr>
      </w:pPr>
    </w:p>
    <w:p w:rsidR="00C70473" w:rsidRDefault="00C70473" w:rsidP="007C1A28">
      <w:pPr>
        <w:jc w:val="both"/>
        <w:rPr>
          <w:b/>
          <w:sz w:val="28"/>
          <w:szCs w:val="28"/>
        </w:rPr>
      </w:pPr>
    </w:p>
    <w:p w:rsidR="00F93420" w:rsidRPr="00F93420" w:rsidRDefault="00F93420" w:rsidP="00F93420">
      <w:pPr>
        <w:shd w:val="clear" w:color="auto" w:fill="FFFFFF"/>
        <w:spacing w:after="375"/>
        <w:jc w:val="both"/>
        <w:outlineLvl w:val="1"/>
        <w:rPr>
          <w:b/>
          <w:color w:val="000000"/>
          <w:sz w:val="28"/>
          <w:szCs w:val="28"/>
        </w:rPr>
      </w:pPr>
      <w:r w:rsidRPr="00F93420">
        <w:rPr>
          <w:b/>
          <w:color w:val="000000"/>
          <w:sz w:val="28"/>
          <w:szCs w:val="28"/>
        </w:rPr>
        <w:t>Изменен порядок уплаты утилизационного сбора в отношении транспортных средств, которые ввозятся в Россию и помещаются под таможенную процедуру временного допуска  </w:t>
      </w:r>
    </w:p>
    <w:p w:rsidR="00F93420" w:rsidRPr="00F93420" w:rsidRDefault="00F93420" w:rsidP="00F93420">
      <w:pPr>
        <w:ind w:firstLine="851"/>
        <w:jc w:val="both"/>
        <w:rPr>
          <w:sz w:val="28"/>
          <w:szCs w:val="28"/>
        </w:rPr>
      </w:pPr>
      <w:r w:rsidRPr="00F93420">
        <w:rPr>
          <w:sz w:val="28"/>
          <w:szCs w:val="28"/>
        </w:rPr>
        <w:t>Федеральным законом от 07.04.2020 № 117-ФЗ «О внесении изменения в статью 24.1 Федерального закона «Об отходах производства и потребления» утилизационный сбор не будет уплачиваться в отношении транспортных средств, которые ввозятся в Россию и помещаются под таможенную процедуру временного допуска.</w:t>
      </w:r>
    </w:p>
    <w:p w:rsidR="00F93420" w:rsidRPr="00F93420" w:rsidRDefault="00F93420" w:rsidP="00F93420">
      <w:pPr>
        <w:ind w:firstLine="851"/>
        <w:jc w:val="both"/>
        <w:rPr>
          <w:sz w:val="28"/>
          <w:szCs w:val="28"/>
        </w:rPr>
      </w:pPr>
      <w:proofErr w:type="gramStart"/>
      <w:r w:rsidRPr="00F93420">
        <w:rPr>
          <w:sz w:val="28"/>
          <w:szCs w:val="28"/>
        </w:rPr>
        <w:t>Указанные изменения направлены на исполнение Постановления Конституционного Суда РФ от 19.07.2019 № 30-П, в соответствии с которым положения статьи 24.1 Федерального закона «Об отходах производства и потребления» признаны не соответствующими Конституции РФ в той мере, в какой они допускают возложение обязанности по уплате утилизационного сбора за транспортные средства, помещенные под таможенную процедуру временного ввоза (допуска), на таких же условиях, как за</w:t>
      </w:r>
      <w:proofErr w:type="gramEnd"/>
      <w:r w:rsidRPr="00F93420">
        <w:rPr>
          <w:sz w:val="28"/>
          <w:szCs w:val="28"/>
        </w:rPr>
        <w:t xml:space="preserve"> транспортные средства, помещенные под таможенную процедуру выпуска для внутреннего потребления.</w:t>
      </w:r>
    </w:p>
    <w:p w:rsidR="00FF6D3E" w:rsidRPr="007C1A28" w:rsidRDefault="00FF6D3E" w:rsidP="007C1A28">
      <w:pPr>
        <w:ind w:firstLine="851"/>
        <w:rPr>
          <w:sz w:val="28"/>
          <w:szCs w:val="28"/>
        </w:rPr>
      </w:pPr>
    </w:p>
    <w:p w:rsidR="001C0872" w:rsidRDefault="001C0872" w:rsidP="001711A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C91594" w:rsidRDefault="00C91594" w:rsidP="001711A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</w:t>
      </w:r>
    </w:p>
    <w:p w:rsidR="00C91594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Волховстроевский</w:t>
      </w:r>
    </w:p>
    <w:p w:rsidR="00C91594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прокурор</w:t>
      </w:r>
    </w:p>
    <w:p w:rsidR="00C91594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4A54EC" w:rsidRDefault="00C91594" w:rsidP="00F5152B">
      <w:pPr>
        <w:pStyle w:val="a3"/>
        <w:spacing w:after="0"/>
        <w:ind w:left="0" w:right="-31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Pr="009D31F2">
        <w:rPr>
          <w:sz w:val="28"/>
          <w:szCs w:val="28"/>
        </w:rPr>
        <w:tab/>
      </w:r>
      <w:r w:rsidRPr="009D31F2">
        <w:rPr>
          <w:sz w:val="28"/>
          <w:szCs w:val="28"/>
        </w:rPr>
        <w:tab/>
      </w:r>
      <w:r w:rsidRPr="009D31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2041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А.В. </w:t>
      </w:r>
      <w:proofErr w:type="spellStart"/>
      <w:r>
        <w:rPr>
          <w:sz w:val="28"/>
          <w:szCs w:val="28"/>
        </w:rPr>
        <w:t>Зябкин</w:t>
      </w:r>
      <w:proofErr w:type="spellEnd"/>
    </w:p>
    <w:sectPr w:rsidR="004A54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BB" w:rsidRDefault="00EE2CBB" w:rsidP="00C91594">
      <w:r>
        <w:separator/>
      </w:r>
    </w:p>
  </w:endnote>
  <w:endnote w:type="continuationSeparator" w:id="0">
    <w:p w:rsidR="00EE2CBB" w:rsidRDefault="00EE2CBB" w:rsidP="00C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20" w:rsidRDefault="00F93420" w:rsidP="00F93420">
    <w:pPr>
      <w:rPr>
        <w:sz w:val="20"/>
        <w:szCs w:val="20"/>
      </w:rPr>
    </w:pPr>
    <w:r w:rsidRPr="00C91594">
      <w:rPr>
        <w:sz w:val="20"/>
        <w:szCs w:val="20"/>
      </w:rPr>
      <w:t>Толпаров Г.Р., тел. 8(81363)7-57-38</w:t>
    </w:r>
  </w:p>
  <w:p w:rsidR="00F93420" w:rsidRDefault="00F934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BB" w:rsidRDefault="00EE2CBB" w:rsidP="00C91594">
      <w:r>
        <w:separator/>
      </w:r>
    </w:p>
  </w:footnote>
  <w:footnote w:type="continuationSeparator" w:id="0">
    <w:p w:rsidR="00EE2CBB" w:rsidRDefault="00EE2CBB" w:rsidP="00C9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B5"/>
    <w:rsid w:val="000953A3"/>
    <w:rsid w:val="000B0057"/>
    <w:rsid w:val="000B4E40"/>
    <w:rsid w:val="00101B60"/>
    <w:rsid w:val="001711AE"/>
    <w:rsid w:val="00172D18"/>
    <w:rsid w:val="001800C5"/>
    <w:rsid w:val="001C0872"/>
    <w:rsid w:val="00204140"/>
    <w:rsid w:val="00227A4F"/>
    <w:rsid w:val="00241D5B"/>
    <w:rsid w:val="00242668"/>
    <w:rsid w:val="0028523D"/>
    <w:rsid w:val="003A59E8"/>
    <w:rsid w:val="003A7D13"/>
    <w:rsid w:val="003D1833"/>
    <w:rsid w:val="004430E0"/>
    <w:rsid w:val="004537A6"/>
    <w:rsid w:val="0047566C"/>
    <w:rsid w:val="004A54EC"/>
    <w:rsid w:val="004F1D8D"/>
    <w:rsid w:val="00535E06"/>
    <w:rsid w:val="00584C6C"/>
    <w:rsid w:val="005E088F"/>
    <w:rsid w:val="00635BBE"/>
    <w:rsid w:val="00637C73"/>
    <w:rsid w:val="006E747C"/>
    <w:rsid w:val="0070206F"/>
    <w:rsid w:val="007A4DF0"/>
    <w:rsid w:val="007C1A28"/>
    <w:rsid w:val="007C2C90"/>
    <w:rsid w:val="00935BF5"/>
    <w:rsid w:val="009E47E0"/>
    <w:rsid w:val="009F1599"/>
    <w:rsid w:val="00A20613"/>
    <w:rsid w:val="00A84755"/>
    <w:rsid w:val="00AB4A42"/>
    <w:rsid w:val="00BF081E"/>
    <w:rsid w:val="00C70473"/>
    <w:rsid w:val="00C811B5"/>
    <w:rsid w:val="00C91594"/>
    <w:rsid w:val="00CC2F88"/>
    <w:rsid w:val="00CE33FD"/>
    <w:rsid w:val="00D35536"/>
    <w:rsid w:val="00D417F4"/>
    <w:rsid w:val="00D44CC9"/>
    <w:rsid w:val="00D5690E"/>
    <w:rsid w:val="00DB655C"/>
    <w:rsid w:val="00DF4E23"/>
    <w:rsid w:val="00EA60EC"/>
    <w:rsid w:val="00EB464D"/>
    <w:rsid w:val="00EE2CBB"/>
    <w:rsid w:val="00F14445"/>
    <w:rsid w:val="00F163EA"/>
    <w:rsid w:val="00F5152B"/>
    <w:rsid w:val="00F93420"/>
    <w:rsid w:val="00FF194D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HP</cp:lastModifiedBy>
  <cp:revision>2</cp:revision>
  <cp:lastPrinted>2020-07-16T12:40:00Z</cp:lastPrinted>
  <dcterms:created xsi:type="dcterms:W3CDTF">2020-07-16T12:43:00Z</dcterms:created>
  <dcterms:modified xsi:type="dcterms:W3CDTF">2020-07-16T12:43:00Z</dcterms:modified>
</cp:coreProperties>
</file>